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7D183C" w:rsidRPr="007D183C">
        <w:rPr>
          <w:rFonts w:ascii="Times New Roman" w:hAnsi="Times New Roman" w:cs="Times New Roman"/>
          <w:u w:val="single"/>
        </w:rPr>
        <w:t>город Старая Русса</w:t>
      </w:r>
      <w:r>
        <w:rPr>
          <w:rFonts w:ascii="Times New Roman" w:hAnsi="Times New Roman" w:cs="Times New Roman"/>
        </w:rPr>
        <w:t>________________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(да/нет)_</w:t>
      </w:r>
      <w:r w:rsidR="007D183C" w:rsidRPr="007D183C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_.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(да/нет)____.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7B0C5F" w:rsidRPr="007B0C5F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(да/нет)____.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96C82" w:rsidRDefault="00F96C82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96C82" w:rsidRDefault="00F96C82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6C82" w:rsidRDefault="00F96C82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035" w:rsidTr="00F370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37035" w:rsidRDefault="00F37035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37035" w:rsidRDefault="00F37035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37035" w:rsidRDefault="00F37035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20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 w:firstRow="1" w:lastRow="0" w:firstColumn="1" w:lastColumn="0" w:noHBand="0" w:noVBand="1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512,9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822,3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1822,6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678,7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2236,9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955,7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836" w:type="dxa"/>
          </w:tcPr>
          <w:p w:rsidR="000B449A" w:rsidRDefault="009821C3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D18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3041,9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2622,0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1010,8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1135,8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B449A" w:rsidRDefault="000B449A" w:rsidP="007D1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9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22" w:type="dxa"/>
          </w:tcPr>
          <w:p w:rsidR="000B449A" w:rsidRDefault="007D183C" w:rsidP="007D1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(да/нет)____.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6" w:type="dxa"/>
          </w:tcPr>
          <w:p w:rsidR="00861EEC" w:rsidRPr="00AF0A2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5" w:type="dxa"/>
          </w:tcPr>
          <w:p w:rsidR="00861EEC" w:rsidRPr="00AF0A2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</w:tcPr>
          <w:p w:rsidR="00861EEC" w:rsidRPr="00AF0A2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861EEC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5" w:type="dxa"/>
          </w:tcPr>
          <w:p w:rsidR="00861EEC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861EEC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(да/нет)____.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 xml:space="preserve">(да/нет)____.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C01365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D813CB" w:rsidRP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6" w:type="dxa"/>
          </w:tcPr>
          <w:p w:rsidR="00D813CB" w:rsidRP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135" w:type="dxa"/>
          </w:tcPr>
          <w:p w:rsidR="00D813CB" w:rsidRP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6" w:type="dxa"/>
            <w:vAlign w:val="center"/>
          </w:tcPr>
          <w:p w:rsidR="00D813CB" w:rsidRP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D813CB" w:rsidTr="00C01365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тыс.руб.</w:t>
            </w:r>
          </w:p>
        </w:tc>
        <w:tc>
          <w:tcPr>
            <w:tcW w:w="1134" w:type="dxa"/>
          </w:tcPr>
          <w:p w:rsid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4280,6</w:t>
            </w:r>
          </w:p>
        </w:tc>
        <w:tc>
          <w:tcPr>
            <w:tcW w:w="1276" w:type="dxa"/>
          </w:tcPr>
          <w:p w:rsid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17365,0</w:t>
            </w:r>
          </w:p>
        </w:tc>
        <w:tc>
          <w:tcPr>
            <w:tcW w:w="1135" w:type="dxa"/>
          </w:tcPr>
          <w:p w:rsid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8579,7</w:t>
            </w:r>
          </w:p>
        </w:tc>
        <w:tc>
          <w:tcPr>
            <w:tcW w:w="1276" w:type="dxa"/>
            <w:vAlign w:val="center"/>
          </w:tcPr>
          <w:p w:rsidR="00D813CB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10604,0</w:t>
            </w:r>
          </w:p>
        </w:tc>
      </w:tr>
      <w:tr w:rsidR="007A681F" w:rsidTr="00C01365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A681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10150,9</w:t>
            </w:r>
          </w:p>
        </w:tc>
        <w:tc>
          <w:tcPr>
            <w:tcW w:w="1276" w:type="dxa"/>
          </w:tcPr>
          <w:p w:rsidR="007A681F" w:rsidRDefault="009821C3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7D183C">
              <w:rPr>
                <w:rFonts w:ascii="Times New Roman" w:hAnsi="Times New Roman" w:cs="Times New Roman"/>
              </w:rPr>
              <w:t>2755,8</w:t>
            </w:r>
          </w:p>
        </w:tc>
        <w:tc>
          <w:tcPr>
            <w:tcW w:w="1135" w:type="dxa"/>
          </w:tcPr>
          <w:p w:rsidR="007A681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A681F" w:rsidRDefault="007D183C" w:rsidP="007D18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1909,3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 w:firstRow="1" w:lastRow="0" w:firstColumn="1" w:lastColumn="0" w:noHBand="0" w:noVBand="1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F03" w:rsidTr="00C87F03">
        <w:tc>
          <w:tcPr>
            <w:tcW w:w="2977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F03" w:rsidRPr="00C87F03" w:rsidRDefault="00C87F03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87F03" w:rsidRPr="00C87F03" w:rsidRDefault="00C87F03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2A40D6" w:rsidRPr="007816FF">
        <w:rPr>
          <w:rFonts w:ascii="Times New Roman" w:hAnsi="Times New Roman" w:cs="Times New Roman"/>
        </w:rPr>
        <w:t>(да/нет)____.</w:t>
      </w:r>
      <w:r w:rsidR="002A40D6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>Если да, то диапазон: ____________руб. в день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2A40D6">
        <w:rPr>
          <w:rFonts w:ascii="Times New Roman" w:hAnsi="Times New Roman" w:cs="Times New Roman"/>
        </w:rPr>
        <w:t xml:space="preserve"> </w:t>
      </w:r>
      <w:r w:rsidR="002A40D6" w:rsidRPr="007816FF">
        <w:rPr>
          <w:rFonts w:ascii="Times New Roman" w:hAnsi="Times New Roman" w:cs="Times New Roman"/>
        </w:rPr>
        <w:t>(да/нет)____.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Pr="00B2064C" w:rsidRDefault="000D61CF" w:rsidP="00091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AB360C" w:rsidRPr="00B2064C" w:rsidRDefault="000D61CF" w:rsidP="00091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AB360C" w:rsidRPr="00B2064C" w:rsidRDefault="000D61CF" w:rsidP="00091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Pr="00B2064C" w:rsidRDefault="000D61CF" w:rsidP="00091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360C" w:rsidRPr="00B2064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(да/нет)____.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9002C6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219075" cy="2476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C6" w:rsidRPr="009002C6" w:rsidRDefault="009002C6" w:rsidP="009002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.2pt;margin-top:9.65pt;width:17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" fillcolor="white [3201]" strokeweight=".5pt">
                <v:textbox>
                  <w:txbxContent>
                    <w:p w:rsidR="009002C6" w:rsidRPr="009002C6" w:rsidRDefault="009002C6" w:rsidP="009002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5692B" wp14:editId="46A04D65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DB95" id="Прямоугольник 2" o:spid="_x0000_s1026" style="position:absolute;margin-left:3.25pt;margin-top: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учреждением в соотве</w:t>
      </w:r>
      <w:r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5ED11" wp14:editId="5A2462B1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05391" id="Прямоугольник 3" o:spid="_x0000_s1026" style="position:absolute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80643C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AFF03" wp14:editId="1245E059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48E73" id="Прямоугольник 4" o:spid="_x0000_s1026" style="position:absolute;margin-left:3.25pt;margin-top:2.2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</w:t>
      </w:r>
      <w:r w:rsidR="009002C6" w:rsidRPr="009002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5D726" wp14:editId="563BBAB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19075" cy="2476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02C6" w:rsidRPr="009002C6" w:rsidRDefault="009002C6" w:rsidP="009002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D726" id="Надпись 10" o:spid="_x0000_s1027" type="#_x0000_t202" style="position:absolute;left:0;text-align:left;margin-left:0;margin-top:12.6pt;width:17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" fillcolor="window" strokeweight=".5pt">
                <v:textbox>
                  <w:txbxContent>
                    <w:p w:rsidR="009002C6" w:rsidRPr="009002C6" w:rsidRDefault="009002C6" w:rsidP="009002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61E8F">
        <w:rPr>
          <w:rFonts w:ascii="Times New Roman" w:hAnsi="Times New Roman" w:cs="Times New Roman"/>
        </w:rPr>
        <w:t>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25B114" wp14:editId="1106F541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8922D" id="Прямоугольник 6" o:spid="_x0000_s1026" style="position:absolute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FB7FCD" wp14:editId="1562B65D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F599" id="Прямоугольник 7" o:spid="_x0000_s1026" style="position:absolute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ACDED" wp14:editId="5EBAC327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4B27" id="Прямоугольник 8" o:spid="_x0000_s1026" style="position:absolute;margin-left:3.25pt;margin-top:2.2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Другим способом (указать каким)________________________________________</w:t>
      </w:r>
      <w:r>
        <w:rPr>
          <w:rFonts w:ascii="Times New Roman" w:hAnsi="Times New Roman" w:cs="Times New Roman"/>
        </w:rPr>
        <w:t>__________</w:t>
      </w:r>
      <w:r w:rsidRPr="00A61E8F">
        <w:rPr>
          <w:rFonts w:ascii="Times New Roman" w:hAnsi="Times New Roman" w:cs="Times New Roman"/>
        </w:rPr>
        <w:t>______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C6" w:rsidRDefault="000359C6" w:rsidP="00624799">
      <w:pPr>
        <w:spacing w:after="0" w:line="240" w:lineRule="auto"/>
      </w:pPr>
      <w:r>
        <w:separator/>
      </w:r>
    </w:p>
  </w:endnote>
  <w:endnote w:type="continuationSeparator" w:id="0">
    <w:p w:rsidR="000359C6" w:rsidRDefault="000359C6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81451"/>
      <w:docPartObj>
        <w:docPartGallery w:val="Page Numbers (Bottom of Page)"/>
        <w:docPartUnique/>
      </w:docPartObj>
    </w:sdtPr>
    <w:sdtEndPr/>
    <w:sdtContent>
      <w:p w:rsidR="002D5E4A" w:rsidRDefault="002D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C3">
          <w:rPr>
            <w:noProof/>
          </w:rPr>
          <w:t>2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C6" w:rsidRDefault="000359C6" w:rsidP="00624799">
      <w:pPr>
        <w:spacing w:after="0" w:line="240" w:lineRule="auto"/>
      </w:pPr>
      <w:r>
        <w:separator/>
      </w:r>
    </w:p>
  </w:footnote>
  <w:footnote w:type="continuationSeparator" w:id="0">
    <w:p w:rsidR="000359C6" w:rsidRDefault="000359C6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151D2"/>
    <w:rsid w:val="000215F5"/>
    <w:rsid w:val="000302E7"/>
    <w:rsid w:val="00030902"/>
    <w:rsid w:val="000359C6"/>
    <w:rsid w:val="000917E5"/>
    <w:rsid w:val="000B449A"/>
    <w:rsid w:val="000C0F4C"/>
    <w:rsid w:val="000C36C9"/>
    <w:rsid w:val="000D333B"/>
    <w:rsid w:val="000D61CF"/>
    <w:rsid w:val="000F467A"/>
    <w:rsid w:val="00104AC7"/>
    <w:rsid w:val="00121370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B18A4"/>
    <w:rsid w:val="002D5E4A"/>
    <w:rsid w:val="00310CDE"/>
    <w:rsid w:val="003254D0"/>
    <w:rsid w:val="003272D7"/>
    <w:rsid w:val="003845E7"/>
    <w:rsid w:val="003C79AE"/>
    <w:rsid w:val="003E1FCE"/>
    <w:rsid w:val="00422F27"/>
    <w:rsid w:val="00424087"/>
    <w:rsid w:val="0042456B"/>
    <w:rsid w:val="00446FFB"/>
    <w:rsid w:val="00453CF4"/>
    <w:rsid w:val="00462948"/>
    <w:rsid w:val="00475449"/>
    <w:rsid w:val="00512C4F"/>
    <w:rsid w:val="00545E1E"/>
    <w:rsid w:val="0059313E"/>
    <w:rsid w:val="005B25F1"/>
    <w:rsid w:val="005C319C"/>
    <w:rsid w:val="005E5A0E"/>
    <w:rsid w:val="005F4EF9"/>
    <w:rsid w:val="006041C1"/>
    <w:rsid w:val="0060626D"/>
    <w:rsid w:val="00624799"/>
    <w:rsid w:val="006560E3"/>
    <w:rsid w:val="00683A9A"/>
    <w:rsid w:val="006A42CB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D183C"/>
    <w:rsid w:val="007E6E71"/>
    <w:rsid w:val="007F7029"/>
    <w:rsid w:val="00803593"/>
    <w:rsid w:val="0080643C"/>
    <w:rsid w:val="00832A5A"/>
    <w:rsid w:val="00861EEC"/>
    <w:rsid w:val="008A5128"/>
    <w:rsid w:val="009002C6"/>
    <w:rsid w:val="0092431F"/>
    <w:rsid w:val="009345E3"/>
    <w:rsid w:val="00957529"/>
    <w:rsid w:val="00965102"/>
    <w:rsid w:val="00965F77"/>
    <w:rsid w:val="009821C3"/>
    <w:rsid w:val="00992AF0"/>
    <w:rsid w:val="009D2260"/>
    <w:rsid w:val="009D62A5"/>
    <w:rsid w:val="009E40D0"/>
    <w:rsid w:val="009F4030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A3B34"/>
    <w:rsid w:val="00BC0397"/>
    <w:rsid w:val="00BE2450"/>
    <w:rsid w:val="00C01365"/>
    <w:rsid w:val="00C06D80"/>
    <w:rsid w:val="00C43F71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37035"/>
    <w:rsid w:val="00F96C82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648DB-96D6-436B-AC4A-5D9891E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1702-AEC6-4F9D-B688-8BC7092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Соловьева Надежда Викторовна</cp:lastModifiedBy>
  <cp:revision>13</cp:revision>
  <cp:lastPrinted>2016-06-29T05:41:00Z</cp:lastPrinted>
  <dcterms:created xsi:type="dcterms:W3CDTF">2016-06-29T06:20:00Z</dcterms:created>
  <dcterms:modified xsi:type="dcterms:W3CDTF">2016-09-06T07:52:00Z</dcterms:modified>
</cp:coreProperties>
</file>